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Corresponde  Acuerdo Reglamentario N° 1622 serie “A” del 12/04/2020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vertAlign w:val="baselin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“PROTOCOLO PRESENTACIONES RECESO EXTRAORDINARIO EN DEPENDENCIAS CON EXPEDIENTE ELECTRONICO”.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LINEAMIENTOS GENERALES: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través del presente mecanismo se establece que todas las presentaciones que deban realizar los letrados, con cuestiones urgentes solicitando habilitación de día y hora, en las dependencias/fueros ya incluidos en el esquema de expediente electrónico, lo sean bajo la modalidad de presentaciones electrónicas en el marco del Acuerdo reglamentario N° 1582/2019 serie “A” de Expediente Electrónico.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Magistrados y funcionarios diariamente y mediante la modalidad de teletrabajo, deberán consultar su despacho electrónico y proveer de manera prioritaria todos aquellos ingresos donde se solicite habilitación de día y hora, con la colaboración de empleados para realizar la labor diaria, de acuerdo a las disposiciones generales.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Mientras dure el receso extraordinario debe omitirse el requisito de la compulsa de la documentación adjuntada en las presentaciones electrónicas a los fines de proveer, admitiéndose como declaración jurada del presentante la concordancia y vigencia de la misma hasta tanto pueda ser compulsada efectivamente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este sentido corresponde diferenciar: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PRESENTACIONES URGENTES EN EXPEDIENTES YA EXISTENTES.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1.1 Se crea la nueva categoría de escrito “Solicita habilitación de día y hora”, que deberá emplearse para presentaciones en expedientes electrónicos ya existentes y serán asignadas a la dependencia de radicación del expediente.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1.2.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crea la categoría de expediente “Solicita habilitación de día y hora en expediente papel” para presentaciones en expedientes ya existentes en papel. Las mismas continuarán su tramitación bajo la modalidad de expediente electrónico y serán asignadas a la dependencia de radicación del mismo. Las actuaciones registradas luego de finalizado el receso, serán incorporadas a los expedientes papel ya existentes.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  <w:rtl w:val="0"/>
        </w:rPr>
        <w:t xml:space="preserve">2. PRESENTACIÓN DE CAUSAS NUEVAS.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2.1 Se crea un expediente electrónico, a través de presentación de demandas, seleccionando el tipo de causa.  El mismo será asignado a la dependencia de turno.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2.2. Los instructivos para letrados estarán publicados en el portal de expediente electrónico en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www.justiciacordoba.gob.ar/portalee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  <w:rtl w:val="0"/>
        </w:rPr>
        <w:t xml:space="preserve">Instructivo para magistrados, funcionarios y empleados en el Portal interno www1.tribunales.gov.ar/portalee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1212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134" w:top="2552" w:left="2268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160" w:before="0" w:line="25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3134995</wp:posOffset>
              </wp:positionH>
              <wp:positionV relativeFrom="paragraph">
                <wp:posOffset>45720</wp:posOffset>
              </wp:positionV>
              <wp:extent cx="2705100" cy="139065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cNvPr id="1" name="Cuadro de texto 2"/>
                    <wps:spPr bwMode="auto">
                      <a:xfrm>
                        <a:off x="0" y="0"/>
                        <a:ext cx="2705100" cy="1390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 id="1"/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3134995</wp:posOffset>
              </wp:positionH>
              <wp:positionV relativeFrom="paragraph">
                <wp:posOffset>45720</wp:posOffset>
              </wp:positionV>
              <wp:extent cx="2705100" cy="1390650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05100" cy="13906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justiciacordoba.gob.ar/portalee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